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D5EA" w14:textId="23019317" w:rsidR="003F0C65" w:rsidRPr="001353CC" w:rsidRDefault="001353CC" w:rsidP="001353C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30396" wp14:editId="3C30026C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175260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65" y="20919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DE stacked logo - no 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E0C">
        <w:rPr>
          <w:rFonts w:ascii="Arial" w:hAnsi="Arial" w:cs="Arial"/>
          <w:b/>
          <w:sz w:val="32"/>
        </w:rPr>
        <w:t>202</w:t>
      </w:r>
      <w:r w:rsidR="00CF2973">
        <w:rPr>
          <w:rFonts w:ascii="Arial" w:hAnsi="Arial" w:cs="Arial"/>
          <w:b/>
          <w:sz w:val="32"/>
        </w:rPr>
        <w:t>3 re</w:t>
      </w:r>
      <w:r w:rsidR="003F0C65" w:rsidRPr="004640DA">
        <w:rPr>
          <w:rFonts w:ascii="Arial" w:hAnsi="Arial" w:cs="Arial"/>
          <w:b/>
          <w:sz w:val="32"/>
        </w:rPr>
        <w:t>quired Due Diligence Questions for Certain Income Tax Positions</w:t>
      </w:r>
    </w:p>
    <w:p w14:paraId="42D25776" w14:textId="77777777" w:rsidR="003F0C65" w:rsidRPr="00555693" w:rsidRDefault="003F0C65" w:rsidP="003F0C65">
      <w:pPr>
        <w:jc w:val="center"/>
        <w:rPr>
          <w:rFonts w:ascii="Arial" w:hAnsi="Arial" w:cs="Arial"/>
          <w:b/>
        </w:rPr>
      </w:pPr>
      <w:r w:rsidRPr="00555693">
        <w:rPr>
          <w:rFonts w:ascii="Arial" w:hAnsi="Arial" w:cs="Arial"/>
          <w:b/>
        </w:rPr>
        <w:t>Head of Household Filing Status</w:t>
      </w:r>
    </w:p>
    <w:p w14:paraId="277A6C4F" w14:textId="77777777" w:rsidR="001353CC" w:rsidRDefault="001353CC" w:rsidP="00565538">
      <w:pPr>
        <w:jc w:val="both"/>
        <w:rPr>
          <w:rFonts w:ascii="Arial" w:hAnsi="Arial" w:cs="Arial"/>
          <w:sz w:val="22"/>
        </w:rPr>
      </w:pPr>
    </w:p>
    <w:p w14:paraId="1E99CE45" w14:textId="2AFA7797" w:rsidR="001353CC" w:rsidRPr="00063D6E" w:rsidRDefault="005F4A92" w:rsidP="001353CC">
      <w:pPr>
        <w:ind w:left="-810"/>
        <w:jc w:val="both"/>
        <w:rPr>
          <w:rFonts w:ascii="Arial" w:hAnsi="Arial" w:cs="Arial"/>
          <w:b/>
          <w:color w:val="FF0000"/>
          <w:sz w:val="22"/>
          <w:u w:val="single"/>
        </w:rPr>
      </w:pPr>
      <w:r w:rsidRPr="00554E38">
        <w:rPr>
          <w:rFonts w:ascii="Arial" w:hAnsi="Arial" w:cs="Arial"/>
          <w:sz w:val="22"/>
        </w:rPr>
        <w:t xml:space="preserve">The IRS requires tax return preparers to </w:t>
      </w:r>
      <w:r>
        <w:rPr>
          <w:rFonts w:ascii="Arial" w:hAnsi="Arial" w:cs="Arial"/>
          <w:sz w:val="22"/>
        </w:rPr>
        <w:t>complete</w:t>
      </w:r>
      <w:r w:rsidRPr="00554E38">
        <w:rPr>
          <w:rFonts w:ascii="Arial" w:hAnsi="Arial" w:cs="Arial"/>
          <w:sz w:val="22"/>
        </w:rPr>
        <w:t xml:space="preserve"> a due diligence checklist with all income tax returns that contain certain credits and deductions, </w:t>
      </w:r>
      <w:r>
        <w:rPr>
          <w:rFonts w:ascii="Arial" w:hAnsi="Arial" w:cs="Arial"/>
          <w:sz w:val="22"/>
        </w:rPr>
        <w:t>including</w:t>
      </w:r>
      <w:r w:rsidRPr="00554E38">
        <w:rPr>
          <w:rFonts w:ascii="Arial" w:hAnsi="Arial" w:cs="Arial"/>
          <w:sz w:val="22"/>
        </w:rPr>
        <w:t xml:space="preserve"> steep penalties for noncompliance. Your return qualifies for the following special credits/deductions; therefore, it is imperative you read and understand this entire document.</w:t>
      </w:r>
      <w:r>
        <w:rPr>
          <w:rFonts w:ascii="Arial" w:hAnsi="Arial" w:cs="Arial"/>
          <w:sz w:val="22"/>
        </w:rPr>
        <w:t xml:space="preserve">  </w:t>
      </w:r>
      <w:r w:rsidR="001353CC" w:rsidRPr="00063D6E">
        <w:rPr>
          <w:rFonts w:ascii="Arial" w:hAnsi="Arial" w:cs="Arial"/>
          <w:b/>
          <w:color w:val="FF0000"/>
          <w:sz w:val="22"/>
          <w:u w:val="single"/>
        </w:rPr>
        <w:t>YOUR RETURN WILL NOT BE FINALIZED UNTIL YOU SIGN AND RETURN THIS DOCUMENT TO US.</w:t>
      </w:r>
    </w:p>
    <w:p w14:paraId="0D8AF00E" w14:textId="77777777" w:rsidR="001353CC" w:rsidRPr="00565538" w:rsidRDefault="001353CC" w:rsidP="001353CC">
      <w:pPr>
        <w:ind w:left="-810"/>
        <w:rPr>
          <w:rFonts w:ascii="Arial" w:hAnsi="Arial" w:cs="Arial"/>
          <w:b/>
          <w:sz w:val="12"/>
          <w:szCs w:val="12"/>
        </w:rPr>
      </w:pPr>
    </w:p>
    <w:p w14:paraId="26280B66" w14:textId="77777777" w:rsidR="001353CC" w:rsidRDefault="001353CC" w:rsidP="001353CC">
      <w:pPr>
        <w:ind w:left="-81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HEAD OF HOUSEHOLD FILING STATUS:</w:t>
      </w:r>
    </w:p>
    <w:p w14:paraId="694A1860" w14:textId="51129CFA" w:rsidR="001353CC" w:rsidRPr="00212E08" w:rsidRDefault="001353CC" w:rsidP="001353CC">
      <w:pPr>
        <w:ind w:left="-810"/>
        <w:jc w:val="both"/>
        <w:rPr>
          <w:rFonts w:ascii="Arial" w:hAnsi="Arial" w:cs="Arial"/>
          <w:sz w:val="20"/>
        </w:rPr>
      </w:pPr>
      <w:r w:rsidRPr="00212E08">
        <w:rPr>
          <w:rFonts w:ascii="Arial" w:hAnsi="Arial" w:cs="Arial"/>
          <w:sz w:val="22"/>
        </w:rPr>
        <w:t xml:space="preserve">The Head of Household filing status generally is for unmarried individuals who provide a home for certain other </w:t>
      </w:r>
      <w:r w:rsidR="00565538" w:rsidRPr="00212E08">
        <w:rPr>
          <w:rFonts w:ascii="Arial" w:hAnsi="Arial" w:cs="Arial"/>
          <w:sz w:val="22"/>
        </w:rPr>
        <w:t>persons</w:t>
      </w:r>
      <w:r w:rsidR="00565538">
        <w:rPr>
          <w:rFonts w:ascii="Arial" w:hAnsi="Arial" w:cs="Arial"/>
          <w:sz w:val="22"/>
        </w:rPr>
        <w:t xml:space="preserve"> and</w:t>
      </w:r>
      <w:r w:rsidRPr="00212E08">
        <w:rPr>
          <w:rFonts w:ascii="Arial" w:hAnsi="Arial" w:cs="Arial"/>
          <w:sz w:val="22"/>
        </w:rPr>
        <w:t xml:space="preserve"> is generally more favorable than filing as Single. In order to qualify for Head of Household filing status, you must meet the following requirements:</w:t>
      </w:r>
    </w:p>
    <w:p w14:paraId="5A961049" w14:textId="77777777" w:rsidR="001353CC" w:rsidRDefault="001353CC" w:rsidP="001353C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considered unmarried as of the last day of the tax year </w:t>
      </w:r>
    </w:p>
    <w:p w14:paraId="49FBB28F" w14:textId="77777777" w:rsidR="001353CC" w:rsidRDefault="001353CC" w:rsidP="002612A0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were legally separated under a decree of divorce or separate maintenance</w:t>
      </w:r>
    </w:p>
    <w:p w14:paraId="57FE0352" w14:textId="77777777" w:rsidR="001353CC" w:rsidRPr="002612A0" w:rsidRDefault="001353CC" w:rsidP="002612A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C450A1">
        <w:rPr>
          <w:rFonts w:ascii="Arial" w:hAnsi="Arial" w:cs="Arial"/>
        </w:rPr>
        <w:t>You are married but lived apart from your spouse for the last 6 months of the tax year and file a separate tax return and paid over half the cost of keeping up your home.</w:t>
      </w:r>
    </w:p>
    <w:p w14:paraId="46D245CB" w14:textId="77777777" w:rsidR="002612A0" w:rsidRPr="00C450A1" w:rsidRDefault="002612A0" w:rsidP="002612A0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2612A0">
        <w:rPr>
          <w:rFonts w:ascii="Arial" w:hAnsi="Arial" w:cs="Arial"/>
        </w:rPr>
        <w:t>Living “apart” does not include time spent apart due to temporary absences like military service, hospital stays, incarceration, lengthy business trips</w:t>
      </w:r>
      <w:r>
        <w:rPr>
          <w:rFonts w:ascii="Arial" w:hAnsi="Arial" w:cs="Arial"/>
          <w:b/>
        </w:rPr>
        <w:t xml:space="preserve">. </w:t>
      </w:r>
    </w:p>
    <w:p w14:paraId="0BCC50E5" w14:textId="77777777" w:rsidR="001353CC" w:rsidRPr="002612A0" w:rsidRDefault="001353CC" w:rsidP="002612A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C450A1">
        <w:rPr>
          <w:rFonts w:ascii="Arial" w:hAnsi="Arial" w:cs="Arial"/>
        </w:rPr>
        <w:t>You are married to a nonresident alien.</w:t>
      </w:r>
    </w:p>
    <w:p w14:paraId="384813FE" w14:textId="0DA24008" w:rsidR="002612A0" w:rsidRDefault="002612A0" w:rsidP="002612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12A0">
        <w:rPr>
          <w:rFonts w:ascii="Arial" w:hAnsi="Arial" w:cs="Arial"/>
        </w:rPr>
        <w:t>You have pa</w:t>
      </w:r>
      <w:r w:rsidR="00565538">
        <w:rPr>
          <w:rFonts w:ascii="Arial" w:hAnsi="Arial" w:cs="Arial"/>
        </w:rPr>
        <w:t>id</w:t>
      </w:r>
      <w:r w:rsidRPr="002612A0">
        <w:rPr>
          <w:rFonts w:ascii="Arial" w:hAnsi="Arial" w:cs="Arial"/>
        </w:rPr>
        <w:t xml:space="preserve"> more than half </w:t>
      </w:r>
      <w:r w:rsidR="00565538">
        <w:rPr>
          <w:rFonts w:ascii="Arial" w:hAnsi="Arial" w:cs="Arial"/>
        </w:rPr>
        <w:t>of the cost of maintain the household for the year</w:t>
      </w:r>
      <w:r>
        <w:rPr>
          <w:rFonts w:ascii="Arial" w:hAnsi="Arial" w:cs="Arial"/>
        </w:rPr>
        <w:t>.</w:t>
      </w:r>
    </w:p>
    <w:p w14:paraId="4033D6F5" w14:textId="0624EF92" w:rsidR="002612A0" w:rsidRDefault="002612A0" w:rsidP="002612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97A78">
        <w:rPr>
          <w:rFonts w:ascii="Arial" w:hAnsi="Arial" w:cs="Arial"/>
        </w:rPr>
        <w:t xml:space="preserve"> maintain a household for either a </w:t>
      </w:r>
      <w:r>
        <w:rPr>
          <w:rFonts w:ascii="Arial" w:hAnsi="Arial" w:cs="Arial"/>
        </w:rPr>
        <w:t>“qualifying child”</w:t>
      </w:r>
      <w:r w:rsidR="00C97A78">
        <w:rPr>
          <w:rFonts w:ascii="Arial" w:hAnsi="Arial" w:cs="Arial"/>
        </w:rPr>
        <w:t xml:space="preserve"> or “qualifying relative”</w:t>
      </w:r>
      <w:r w:rsidR="007936C4">
        <w:rPr>
          <w:rFonts w:ascii="Arial" w:hAnsi="Arial" w:cs="Arial"/>
        </w:rPr>
        <w:t xml:space="preserve"> (unrelated dependent does not qualify).</w:t>
      </w:r>
    </w:p>
    <w:p w14:paraId="1FCA4D1F" w14:textId="472D13FB" w:rsidR="002612A0" w:rsidRPr="002612A0" w:rsidRDefault="002612A0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2612A0">
        <w:rPr>
          <w:rFonts w:ascii="Arial" w:hAnsi="Arial" w:cs="Arial"/>
          <w:sz w:val="22"/>
          <w:szCs w:val="22"/>
        </w:rPr>
        <w:t>The child must be your biological child, stepchild, foster child, sibling, step sibling, half sibling, or descendant (child, grandchild, great grandchild, etc.) of one of these relatives.</w:t>
      </w:r>
    </w:p>
    <w:p w14:paraId="2EFD691E" w14:textId="77777777" w:rsidR="002612A0" w:rsidRPr="002612A0" w:rsidRDefault="002612A0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2612A0">
        <w:rPr>
          <w:rFonts w:ascii="Arial" w:hAnsi="Arial" w:cs="Arial"/>
          <w:sz w:val="22"/>
          <w:szCs w:val="22"/>
        </w:rPr>
        <w:t>The child must have lived within your home for more than six months during the tax year</w:t>
      </w:r>
      <w:r w:rsidR="00270F1D">
        <w:rPr>
          <w:rFonts w:ascii="Arial" w:hAnsi="Arial" w:cs="Arial"/>
          <w:sz w:val="22"/>
          <w:szCs w:val="22"/>
        </w:rPr>
        <w:t xml:space="preserve">. Even if you claim the child as a dependent for other reasons, if they don’t live with you at least six months, they don’t qualify. </w:t>
      </w:r>
    </w:p>
    <w:p w14:paraId="4AB668FB" w14:textId="77777777" w:rsidR="002612A0" w:rsidRPr="002612A0" w:rsidRDefault="002612A0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2612A0">
        <w:rPr>
          <w:rFonts w:ascii="Arial" w:hAnsi="Arial" w:cs="Arial"/>
          <w:sz w:val="22"/>
          <w:szCs w:val="22"/>
        </w:rPr>
        <w:t>The child needs to be younger than you.</w:t>
      </w:r>
    </w:p>
    <w:p w14:paraId="52E65128" w14:textId="77777777" w:rsidR="002612A0" w:rsidRPr="00C97A78" w:rsidRDefault="002612A0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2612A0">
        <w:rPr>
          <w:rFonts w:ascii="Arial" w:hAnsi="Arial" w:cs="Arial"/>
          <w:sz w:val="22"/>
          <w:szCs w:val="22"/>
        </w:rPr>
        <w:t xml:space="preserve">As of the end of the tax year, the child must be under 19 if he is not a student, or under 24 if he is a </w:t>
      </w:r>
      <w:r w:rsidRPr="00C97A78">
        <w:rPr>
          <w:rFonts w:ascii="Arial" w:hAnsi="Arial" w:cs="Arial"/>
          <w:sz w:val="22"/>
          <w:szCs w:val="22"/>
        </w:rPr>
        <w:t>full-time college student.</w:t>
      </w:r>
    </w:p>
    <w:p w14:paraId="68C43B8D" w14:textId="1F4E6F93" w:rsidR="002612A0" w:rsidRPr="00C97A78" w:rsidRDefault="00270F1D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C97A78">
        <w:rPr>
          <w:rFonts w:ascii="Arial" w:hAnsi="Arial" w:cs="Arial"/>
          <w:sz w:val="22"/>
          <w:szCs w:val="22"/>
        </w:rPr>
        <w:t>Th</w:t>
      </w:r>
      <w:r w:rsidR="002612A0" w:rsidRPr="00C97A78">
        <w:rPr>
          <w:rFonts w:ascii="Arial" w:hAnsi="Arial" w:cs="Arial"/>
          <w:sz w:val="22"/>
          <w:szCs w:val="22"/>
        </w:rPr>
        <w:t>e child must not have paid for more than half of his living expenses during the tax year.</w:t>
      </w:r>
    </w:p>
    <w:p w14:paraId="1F1B20C3" w14:textId="5E5CAA58" w:rsidR="00C97A78" w:rsidRPr="00C97A78" w:rsidRDefault="00C97A78" w:rsidP="002612A0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C97A78">
        <w:rPr>
          <w:rFonts w:ascii="Arial" w:hAnsi="Arial" w:cs="Arial"/>
          <w:color w:val="333333"/>
          <w:sz w:val="22"/>
          <w:szCs w:val="22"/>
          <w:shd w:val="clear" w:color="auto" w:fill="FFFFFF"/>
        </w:rPr>
        <w:t>The qualifying child of a </w:t>
      </w:r>
      <w:r w:rsidRPr="00C97A78">
        <w:rPr>
          <w:rFonts w:ascii="Arial" w:hAnsi="Arial" w:cs="Arial"/>
          <w:sz w:val="22"/>
          <w:szCs w:val="22"/>
        </w:rPr>
        <w:t>taxpayer</w:t>
      </w:r>
      <w:r w:rsidRPr="00C97A78">
        <w:rPr>
          <w:rFonts w:ascii="Arial" w:hAnsi="Arial" w:cs="Arial"/>
          <w:color w:val="333333"/>
          <w:sz w:val="22"/>
          <w:szCs w:val="22"/>
          <w:shd w:val="clear" w:color="auto" w:fill="FFFFFF"/>
        </w:rPr>
        <w:t> for </w:t>
      </w:r>
      <w:r w:rsidRPr="00C97A78">
        <w:rPr>
          <w:rFonts w:ascii="Arial" w:hAnsi="Arial" w:cs="Arial"/>
          <w:sz w:val="22"/>
          <w:szCs w:val="22"/>
        </w:rPr>
        <w:t>head of household</w:t>
      </w:r>
      <w:r w:rsidRPr="00C97A78">
        <w:rPr>
          <w:rFonts w:ascii="Arial" w:hAnsi="Arial" w:cs="Arial"/>
          <w:color w:val="333333"/>
          <w:sz w:val="22"/>
          <w:szCs w:val="22"/>
          <w:shd w:val="clear" w:color="auto" w:fill="FFFFFF"/>
        </w:rPr>
        <w:t> purposes cannot be married, unless the </w:t>
      </w:r>
      <w:r w:rsidRPr="00C97A78">
        <w:rPr>
          <w:rFonts w:ascii="Arial" w:hAnsi="Arial" w:cs="Arial"/>
          <w:sz w:val="22"/>
          <w:szCs w:val="22"/>
        </w:rPr>
        <w:t>taxpayer</w:t>
      </w:r>
      <w:r w:rsidRPr="00C97A78">
        <w:rPr>
          <w:rFonts w:ascii="Arial" w:hAnsi="Arial" w:cs="Arial"/>
          <w:color w:val="333333"/>
          <w:sz w:val="22"/>
          <w:szCs w:val="22"/>
          <w:shd w:val="clear" w:color="auto" w:fill="FFFFFF"/>
        </w:rPr>
        <w:t> can claim that child as a dependent.</w:t>
      </w:r>
    </w:p>
    <w:p w14:paraId="4B2D9020" w14:textId="1B629728" w:rsidR="00270F1D" w:rsidRPr="007936C4" w:rsidRDefault="00C97A78" w:rsidP="00270F1D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Qualifying</w:t>
      </w:r>
      <w:r w:rsidR="00270F1D">
        <w:rPr>
          <w:rFonts w:ascii="Arial" w:hAnsi="Arial" w:cs="Arial"/>
          <w:sz w:val="22"/>
          <w:szCs w:val="22"/>
        </w:rPr>
        <w:t xml:space="preserve"> relatives – parents, for example, can qualify you for head of household status, even if they don’t </w:t>
      </w:r>
      <w:r w:rsidR="00270F1D" w:rsidRPr="007936C4">
        <w:rPr>
          <w:rFonts w:ascii="Arial" w:hAnsi="Arial" w:cs="Arial"/>
          <w:sz w:val="22"/>
          <w:szCs w:val="22"/>
        </w:rPr>
        <w:t xml:space="preserve">live with you, </w:t>
      </w:r>
      <w:r w:rsidR="003E5D99" w:rsidRPr="007936C4">
        <w:rPr>
          <w:rFonts w:ascii="Arial" w:hAnsi="Arial" w:cs="Arial"/>
          <w:sz w:val="22"/>
          <w:szCs w:val="22"/>
        </w:rPr>
        <w:t>if</w:t>
      </w:r>
      <w:r w:rsidR="00270F1D" w:rsidRPr="007936C4">
        <w:rPr>
          <w:rFonts w:ascii="Arial" w:hAnsi="Arial" w:cs="Arial"/>
          <w:sz w:val="22"/>
          <w:szCs w:val="22"/>
        </w:rPr>
        <w:t xml:space="preserve"> you pa</w:t>
      </w:r>
      <w:r w:rsidR="003E5D99">
        <w:rPr>
          <w:rFonts w:ascii="Arial" w:hAnsi="Arial" w:cs="Arial"/>
          <w:sz w:val="22"/>
          <w:szCs w:val="22"/>
        </w:rPr>
        <w:t>id</w:t>
      </w:r>
      <w:r w:rsidR="00270F1D" w:rsidRPr="007936C4">
        <w:rPr>
          <w:rFonts w:ascii="Arial" w:hAnsi="Arial" w:cs="Arial"/>
          <w:sz w:val="22"/>
          <w:szCs w:val="22"/>
        </w:rPr>
        <w:t xml:space="preserve"> more than half the cost of </w:t>
      </w:r>
      <w:r w:rsidR="003E5D99">
        <w:rPr>
          <w:rFonts w:ascii="Arial" w:hAnsi="Arial" w:cs="Arial"/>
          <w:sz w:val="22"/>
          <w:szCs w:val="22"/>
        </w:rPr>
        <w:t xml:space="preserve">maintaining </w:t>
      </w:r>
      <w:r w:rsidR="00270F1D" w:rsidRPr="007936C4">
        <w:rPr>
          <w:rFonts w:ascii="Arial" w:hAnsi="Arial" w:cs="Arial"/>
          <w:sz w:val="22"/>
          <w:szCs w:val="22"/>
        </w:rPr>
        <w:t>th</w:t>
      </w:r>
      <w:r w:rsidR="003E5D99">
        <w:rPr>
          <w:rFonts w:ascii="Arial" w:hAnsi="Arial" w:cs="Arial"/>
          <w:sz w:val="22"/>
          <w:szCs w:val="22"/>
        </w:rPr>
        <w:t>at parent’s main</w:t>
      </w:r>
      <w:r w:rsidR="00270F1D" w:rsidRPr="007936C4">
        <w:rPr>
          <w:rFonts w:ascii="Arial" w:hAnsi="Arial" w:cs="Arial"/>
          <w:sz w:val="22"/>
          <w:szCs w:val="22"/>
        </w:rPr>
        <w:t xml:space="preserve"> home</w:t>
      </w:r>
      <w:r w:rsidR="003E5D99">
        <w:rPr>
          <w:rFonts w:ascii="Arial" w:hAnsi="Arial" w:cs="Arial"/>
          <w:sz w:val="22"/>
          <w:szCs w:val="22"/>
        </w:rPr>
        <w:t xml:space="preserve"> for the entire year and claimed the parent as a dependent on their return.</w:t>
      </w:r>
    </w:p>
    <w:p w14:paraId="2DFEF7CA" w14:textId="3804FBDB" w:rsidR="00270F1D" w:rsidRPr="007936C4" w:rsidRDefault="00C97A78" w:rsidP="00270F1D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7936C4">
        <w:rPr>
          <w:rFonts w:ascii="Arial" w:hAnsi="Arial" w:cs="Arial"/>
          <w:sz w:val="22"/>
          <w:szCs w:val="22"/>
        </w:rPr>
        <w:t>A</w:t>
      </w:r>
      <w:r w:rsidR="00270F1D" w:rsidRPr="007936C4">
        <w:rPr>
          <w:rFonts w:ascii="Arial" w:hAnsi="Arial" w:cs="Arial"/>
          <w:sz w:val="22"/>
          <w:szCs w:val="22"/>
        </w:rPr>
        <w:t xml:space="preserve"> nephew or niece or in-laws</w:t>
      </w:r>
      <w:r w:rsidRPr="007936C4">
        <w:rPr>
          <w:rFonts w:ascii="Arial" w:hAnsi="Arial" w:cs="Arial"/>
          <w:sz w:val="22"/>
          <w:szCs w:val="22"/>
        </w:rPr>
        <w:t xml:space="preserve"> may qualify</w:t>
      </w:r>
      <w:r w:rsidR="00270F1D" w:rsidRPr="007936C4">
        <w:rPr>
          <w:rFonts w:ascii="Arial" w:hAnsi="Arial" w:cs="Arial"/>
          <w:sz w:val="22"/>
          <w:szCs w:val="22"/>
        </w:rPr>
        <w:t>; if they live with you more than half the year and you provide more than half their support, they too qualify you for this filing status</w:t>
      </w:r>
      <w:r w:rsidR="00570221" w:rsidRPr="007936C4">
        <w:rPr>
          <w:rFonts w:ascii="Arial" w:hAnsi="Arial" w:cs="Arial"/>
          <w:sz w:val="22"/>
          <w:szCs w:val="22"/>
        </w:rPr>
        <w:t>.</w:t>
      </w:r>
    </w:p>
    <w:p w14:paraId="2974C3E5" w14:textId="77777777" w:rsidR="00270F1D" w:rsidRPr="005F4A92" w:rsidRDefault="00270F1D" w:rsidP="00270F1D">
      <w:pPr>
        <w:shd w:val="clear" w:color="auto" w:fill="FFFFFF"/>
        <w:ind w:left="-86"/>
        <w:rPr>
          <w:rFonts w:ascii="Arial" w:hAnsi="Arial" w:cs="Arial"/>
          <w:sz w:val="12"/>
          <w:szCs w:val="12"/>
        </w:rPr>
      </w:pPr>
    </w:p>
    <w:p w14:paraId="2FB67B58" w14:textId="77777777" w:rsidR="00397798" w:rsidRPr="00B477AE" w:rsidRDefault="00397798" w:rsidP="00397798">
      <w:pPr>
        <w:ind w:left="-810"/>
        <w:rPr>
          <w:rFonts w:ascii="Arial" w:hAnsi="Arial" w:cs="Arial"/>
          <w:b/>
          <w:color w:val="FF0000"/>
          <w:sz w:val="22"/>
          <w:szCs w:val="22"/>
        </w:rPr>
      </w:pPr>
      <w:r w:rsidRPr="00B477AE">
        <w:rPr>
          <w:rFonts w:ascii="Arial" w:hAnsi="Arial" w:cs="Arial"/>
          <w:b/>
          <w:color w:val="FF0000"/>
          <w:sz w:val="22"/>
          <w:u w:val="single"/>
        </w:rPr>
        <w:t>I</w:t>
      </w:r>
      <w:r w:rsidRPr="00B477A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CERTIFY UNDER PENALTY OF PERJURY</w:t>
      </w:r>
      <w:r w:rsidRPr="00B477AE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06A69C1D" w14:textId="77777777" w:rsidR="00397798" w:rsidRDefault="00397798" w:rsidP="00397798">
      <w:pPr>
        <w:ind w:left="-810"/>
        <w:rPr>
          <w:rFonts w:ascii="Arial" w:hAnsi="Arial" w:cs="Arial"/>
          <w:b/>
          <w:sz w:val="22"/>
          <w:szCs w:val="22"/>
        </w:rPr>
      </w:pPr>
    </w:p>
    <w:p w14:paraId="17450E48" w14:textId="2AC11CBB" w:rsidR="00397798" w:rsidRPr="00397798" w:rsidRDefault="00397798" w:rsidP="00397798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397798">
        <w:rPr>
          <w:rFonts w:ascii="Arial" w:hAnsi="Arial" w:cs="Arial"/>
          <w:b/>
        </w:rPr>
        <w:t>I me</w:t>
      </w:r>
      <w:r w:rsidR="007E63AA">
        <w:rPr>
          <w:rFonts w:ascii="Arial" w:hAnsi="Arial" w:cs="Arial"/>
          <w:b/>
        </w:rPr>
        <w:t>e</w:t>
      </w:r>
      <w:r w:rsidRPr="00397798">
        <w:rPr>
          <w:rFonts w:ascii="Arial" w:hAnsi="Arial" w:cs="Arial"/>
          <w:b/>
        </w:rPr>
        <w:t>t every one of the above requirements for 202</w:t>
      </w:r>
      <w:r w:rsidR="00CF2973">
        <w:rPr>
          <w:rFonts w:ascii="Arial" w:hAnsi="Arial" w:cs="Arial"/>
          <w:b/>
        </w:rPr>
        <w:t>3</w:t>
      </w:r>
    </w:p>
    <w:p w14:paraId="64C58857" w14:textId="77777777" w:rsidR="00397798" w:rsidRPr="00397798" w:rsidRDefault="00397798" w:rsidP="0039779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97798">
        <w:rPr>
          <w:rFonts w:ascii="Arial" w:hAnsi="Arial" w:cs="Arial"/>
          <w:b/>
        </w:rPr>
        <w:t>I am able to provide documentation needed to prove that I qualify for this credit if audited by the IRS.</w:t>
      </w:r>
    </w:p>
    <w:p w14:paraId="5020F779" w14:textId="56751578" w:rsidR="00397798" w:rsidRPr="00397798" w:rsidRDefault="00397798" w:rsidP="0039779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97798">
        <w:rPr>
          <w:rFonts w:ascii="Arial" w:hAnsi="Arial" w:cs="Arial"/>
          <w:b/>
        </w:rPr>
        <w:t xml:space="preserve">I have never been notified by the IRS that this credit was disallowed or reduced in a previous year.  </w:t>
      </w:r>
      <w:r w:rsidRPr="00397798">
        <w:rPr>
          <w:rFonts w:ascii="Arial" w:hAnsi="Arial" w:cs="Arial"/>
          <w:b/>
        </w:rPr>
        <w:tab/>
      </w:r>
      <w:r w:rsidRPr="00397798">
        <w:rPr>
          <w:rFonts w:ascii="Arial" w:hAnsi="Arial" w:cs="Arial"/>
          <w:b/>
        </w:rPr>
        <w:tab/>
      </w:r>
      <w:r w:rsidRPr="00397798">
        <w:rPr>
          <w:rFonts w:ascii="Arial" w:hAnsi="Arial" w:cs="Arial"/>
          <w:b/>
        </w:rPr>
        <w:tab/>
      </w:r>
      <w:r w:rsidRPr="00397798">
        <w:rPr>
          <w:rFonts w:ascii="Arial" w:hAnsi="Arial" w:cs="Arial"/>
          <w:b/>
        </w:rPr>
        <w:tab/>
      </w:r>
    </w:p>
    <w:p w14:paraId="1AB181D7" w14:textId="090C5317" w:rsidR="00397798" w:rsidRPr="00397798" w:rsidRDefault="00397798" w:rsidP="0039779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97798">
        <w:rPr>
          <w:rFonts w:ascii="Arial" w:hAnsi="Arial" w:cs="Arial"/>
          <w:b/>
        </w:rPr>
        <w:t>I have read and understand the foregoing is true and correct.</w:t>
      </w:r>
    </w:p>
    <w:p w14:paraId="38DC58E5" w14:textId="784B243A" w:rsidR="00397798" w:rsidRDefault="00397798" w:rsidP="00397798">
      <w:pPr>
        <w:ind w:left="-810"/>
        <w:rPr>
          <w:rFonts w:ascii="Arial" w:hAnsi="Arial" w:cs="Arial"/>
          <w:b/>
          <w:sz w:val="22"/>
        </w:rPr>
      </w:pPr>
    </w:p>
    <w:p w14:paraId="75B9B982" w14:textId="77777777" w:rsidR="00397798" w:rsidRDefault="00397798" w:rsidP="00397798">
      <w:pPr>
        <w:ind w:left="-810"/>
        <w:rPr>
          <w:rFonts w:ascii="Arial" w:hAnsi="Arial" w:cs="Arial"/>
          <w:b/>
          <w:sz w:val="22"/>
        </w:rPr>
      </w:pPr>
    </w:p>
    <w:p w14:paraId="62F07AE8" w14:textId="77777777" w:rsidR="001353CC" w:rsidRDefault="001353CC" w:rsidP="001353CC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                                              _________________________</w:t>
      </w:r>
    </w:p>
    <w:p w14:paraId="3EA812F6" w14:textId="77777777" w:rsidR="001353CC" w:rsidRDefault="001353CC" w:rsidP="001353CC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Signature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 xml:space="preserve">     Date</w:t>
      </w:r>
    </w:p>
    <w:p w14:paraId="50EC4ACC" w14:textId="77777777" w:rsidR="001353CC" w:rsidRDefault="001353CC" w:rsidP="001353CC">
      <w:pPr>
        <w:ind w:left="-810"/>
        <w:rPr>
          <w:rFonts w:ascii="Arial" w:hAnsi="Arial" w:cs="Arial"/>
          <w:b/>
          <w:sz w:val="22"/>
        </w:rPr>
      </w:pPr>
    </w:p>
    <w:p w14:paraId="13FE4F60" w14:textId="77777777" w:rsidR="001353CC" w:rsidRDefault="001353CC" w:rsidP="001353CC">
      <w:pPr>
        <w:ind w:left="-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                                              _________________________</w:t>
      </w:r>
    </w:p>
    <w:p w14:paraId="1E37D27F" w14:textId="77777777" w:rsidR="002D098A" w:rsidRPr="002D098A" w:rsidRDefault="001353CC" w:rsidP="002612A0">
      <w:pPr>
        <w:ind w:lef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Signature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 xml:space="preserve">     Date</w:t>
      </w:r>
    </w:p>
    <w:sectPr w:rsidR="002D098A" w:rsidRPr="002D098A" w:rsidSect="002D09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1B7"/>
    <w:multiLevelType w:val="hybridMultilevel"/>
    <w:tmpl w:val="907EA81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E37154C"/>
    <w:multiLevelType w:val="hybridMultilevel"/>
    <w:tmpl w:val="94F4F14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FB23487"/>
    <w:multiLevelType w:val="hybridMultilevel"/>
    <w:tmpl w:val="9864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AE5"/>
    <w:multiLevelType w:val="hybridMultilevel"/>
    <w:tmpl w:val="4E0EBE7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572037FE"/>
    <w:multiLevelType w:val="hybridMultilevel"/>
    <w:tmpl w:val="95043EC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695826A9"/>
    <w:multiLevelType w:val="hybridMultilevel"/>
    <w:tmpl w:val="D85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5125">
    <w:abstractNumId w:val="3"/>
  </w:num>
  <w:num w:numId="2" w16cid:durableId="1124690059">
    <w:abstractNumId w:val="1"/>
  </w:num>
  <w:num w:numId="3" w16cid:durableId="706569821">
    <w:abstractNumId w:val="4"/>
  </w:num>
  <w:num w:numId="4" w16cid:durableId="308438114">
    <w:abstractNumId w:val="5"/>
  </w:num>
  <w:num w:numId="5" w16cid:durableId="1923448510">
    <w:abstractNumId w:val="2"/>
  </w:num>
  <w:num w:numId="6" w16cid:durableId="13339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8A"/>
    <w:rsid w:val="000074DB"/>
    <w:rsid w:val="00063D6E"/>
    <w:rsid w:val="000B108E"/>
    <w:rsid w:val="001353CC"/>
    <w:rsid w:val="002612A0"/>
    <w:rsid w:val="00270F1D"/>
    <w:rsid w:val="002716E0"/>
    <w:rsid w:val="00297E0C"/>
    <w:rsid w:val="002D098A"/>
    <w:rsid w:val="00397798"/>
    <w:rsid w:val="003B1E62"/>
    <w:rsid w:val="003E5D99"/>
    <w:rsid w:val="003F0C65"/>
    <w:rsid w:val="003F13E5"/>
    <w:rsid w:val="00440A97"/>
    <w:rsid w:val="00543A1E"/>
    <w:rsid w:val="00565538"/>
    <w:rsid w:val="00570221"/>
    <w:rsid w:val="00584CF9"/>
    <w:rsid w:val="005F183D"/>
    <w:rsid w:val="005F4A92"/>
    <w:rsid w:val="007936C4"/>
    <w:rsid w:val="007E63AA"/>
    <w:rsid w:val="00997AA1"/>
    <w:rsid w:val="009B62F8"/>
    <w:rsid w:val="00A17D96"/>
    <w:rsid w:val="00AF684C"/>
    <w:rsid w:val="00B477AE"/>
    <w:rsid w:val="00C35FFF"/>
    <w:rsid w:val="00C95736"/>
    <w:rsid w:val="00C97A78"/>
    <w:rsid w:val="00CA0D62"/>
    <w:rsid w:val="00CF2973"/>
    <w:rsid w:val="00E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64E0"/>
  <w15:docId w15:val="{7E2222B1-B3E2-491B-BE8B-42D3FEC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4CF9"/>
    <w:rPr>
      <w:rFonts w:asciiTheme="majorHAnsi" w:eastAsiaTheme="majorEastAsia" w:hAnsiTheme="majorHAnsi" w:cstheme="majorBidi"/>
      <w:vanish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E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098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Crystal Karsten</cp:lastModifiedBy>
  <cp:revision>6</cp:revision>
  <cp:lastPrinted>2022-12-13T20:14:00Z</cp:lastPrinted>
  <dcterms:created xsi:type="dcterms:W3CDTF">2022-12-13T19:26:00Z</dcterms:created>
  <dcterms:modified xsi:type="dcterms:W3CDTF">2023-10-30T15:22:00Z</dcterms:modified>
</cp:coreProperties>
</file>